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5BB264" w:sz="6" w:space="4"/>
          <w:left w:val="single" w:color="5BB264" w:sz="6" w:space="4"/>
          <w:bottom w:val="single" w:color="5BB264" w:sz="6" w:space="4"/>
          <w:right w:val="single" w:color="5BB264" w:sz="6" w:space="4"/>
        </w:pBdr>
        <w:shd w:fill="E2EFD9" w:color="auto" w:val="clear"/>
        <w:spacing w:after="20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Worked example. </w:t>
      </w:r>
      <w:r>
        <w:rPr>
          <w:rFonts w:ascii="Calibri" w:cs="Calibri" w:eastAsia="Calibri" w:hAnsi="Calibri"/>
          <w:sz w:val="20"/>
          <w:szCs w:val="20"/>
        </w:rPr>
        <w:t xml:space="preserve">A fictional organisation, people and figures, written by Fife Voluntary Action to show one way of completing this form well. It is not a real report and not a Fife Council document. The answers are in </w:t>
      </w:r>
      <w:r>
        <w:rPr>
          <w:rFonts w:ascii="Calibri" w:cs="Calibri" w:eastAsia="Calibri" w:hAnsi="Calibri"/>
          <w:b/>
          <w:bCs/>
          <w:color w:val="1F5CA8"/>
          <w:sz w:val="20"/>
          <w:szCs w:val="20"/>
        </w:rPr>
        <w:t xml:space="preserve">blue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60" w:before="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Annual Report Summary – Recurring Grant Funding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400"/>
        <w:gridCol w:w="7400"/>
      </w:tblGrid>
      <w:tr>
        <w:trPr>
          <w:cantSplit/>
        </w:trPr>
        <w:tc>
          <w:tcPr>
            <w:tcW w:type="dxa" w:w="24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Applicant Organisation</w:t>
            </w:r>
          </w:p>
        </w:tc>
        <w:tc>
          <w:tcPr>
            <w:tcW w:type="dxa" w:w="74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Example Community Centre (SCIO), Scottish charity SC000000</w:t>
            </w:r>
          </w:p>
        </w:tc>
      </w:tr>
      <w:tr>
        <w:trPr>
          <w:cantSplit/>
        </w:trPr>
        <w:tc>
          <w:tcPr>
            <w:tcW w:type="dxa" w:w="24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Completion</w:t>
            </w:r>
          </w:p>
        </w:tc>
        <w:tc>
          <w:tcPr>
            <w:tcW w:type="dxa" w:w="74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12 February 2027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1. Service Level Agreement Funding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00"/>
        <w:gridCol w:w="3000"/>
        <w:gridCol w:w="1600"/>
        <w:gridCol w:w="1600"/>
        <w:gridCol w:w="1400"/>
        <w:gridCol w:w="1700"/>
      </w:tblGrid>
      <w:tr>
        <w:trPr>
          <w:cantSplit/>
        </w:trPr>
        <w:tc>
          <w:tcPr>
            <w:tcW w:type="dxa" w:w="5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Awarding Service</w:t>
            </w:r>
          </w:p>
        </w:tc>
        <w:tc>
          <w:tcPr>
            <w:tcW w:type="dxa" w:w="1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Award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(Last Year)</w:t>
            </w:r>
          </w:p>
        </w:tc>
        <w:tc>
          <w:tcPr>
            <w:tcW w:type="dxa" w:w="1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Award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(Current Year)</w:t>
            </w:r>
          </w:p>
        </w:tc>
        <w:tc>
          <w:tcPr>
            <w:tcW w:type="dxa" w:w="14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Variation</w:t>
            </w:r>
          </w:p>
        </w:tc>
        <w:tc>
          <w:tcPr>
            <w:tcW w:type="dxa" w:w="1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Funding Cycle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(e.g. Year 1 of 3)</w:t>
            </w:r>
          </w:p>
        </w:tc>
      </w:tr>
      <w:tr>
        <w:trPr>
          <w:cantSplit/>
        </w:trPr>
        <w:tc>
          <w:tcPr>
            <w:tcW w:type="dxa" w:w="5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Communities and Neighbourhoods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£24,000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£24,600</w:t>
            </w:r>
          </w:p>
        </w:tc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+£600</w:t>
            </w:r>
          </w:p>
        </w:tc>
        <w:tc>
          <w:tcPr>
            <w:tcW w:type="dxa" w:w="17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Year 3 of 3</w:t>
            </w:r>
          </w:p>
        </w:tc>
      </w:tr>
      <w:tr>
        <w:trPr>
          <w:cantSplit/>
        </w:trPr>
        <w:tc>
          <w:tcPr>
            <w:tcW w:type="dxa" w:w="5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Education Service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£8,000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£6,000</w:t>
            </w:r>
          </w:p>
        </w:tc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-£2,000</w:t>
            </w:r>
          </w:p>
        </w:tc>
        <w:tc>
          <w:tcPr>
            <w:tcW w:type="dxa" w:w="17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Year 2 of 3</w:t>
            </w:r>
          </w:p>
        </w:tc>
      </w:tr>
      <w:tr>
        <w:trPr>
          <w:cantSplit/>
        </w:trPr>
        <w:tc>
          <w:tcPr>
            <w:tcW w:type="dxa" w:w="5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£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£</w:t>
            </w:r>
          </w:p>
        </w:tc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£</w:t>
            </w:r>
          </w:p>
        </w:tc>
        <w:tc>
          <w:tcPr>
            <w:tcW w:type="dxa" w:w="17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Main reason(s) for any variation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800"/>
      </w:tblGrid>
      <w:tr>
        <w:trPr>
          <w:cantSplit/>
        </w:trPr>
        <w:tc>
          <w:tcPr>
            <w:tcW w:type="dxa" w:w="98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1. Communities and Neighbourhoods: a 2.5% uplift towards rising costs.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2. Education Service: reduced by £2,000 as part of the service’s budget savings for 2026-27. We are using reserves to keep all four family learning courses running this year, but from 2027-28 we will only be able to run three unless we find other funding.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Brief summary of how the funding was spent in relation to each SLA component part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00"/>
        <w:gridCol w:w="9300"/>
      </w:tblGrid>
      <w:tr>
        <w:trPr>
          <w:cantSplit/>
        </w:trPr>
        <w:tc>
          <w:tcPr>
            <w:tcW w:type="dxa" w:w="5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9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Lunch club (Communities and Neighbourhoods): 12 hours a week of the coordinator’s time, hall costs and food for 48 lunches a year for older people at risk of isolation, with volunteer drivers for those who need transport.</w:t>
            </w:r>
          </w:p>
        </w:tc>
      </w:tr>
      <w:tr>
        <w:trPr>
          <w:cantSplit/>
        </w:trPr>
        <w:tc>
          <w:tcPr>
            <w:tcW w:type="dxa" w:w="5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9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Youth drop-in (Communities and Neighbourhoods): two sessional youth workers, two evenings a week in term time, with activities and healthy snacks for young people aged 11 to 16.</w:t>
            </w:r>
          </w:p>
        </w:tc>
      </w:tr>
      <w:tr>
        <w:trPr>
          <w:cantSplit/>
        </w:trPr>
        <w:tc>
          <w:tcPr>
            <w:tcW w:type="dxa" w:w="5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9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Family learning (Education Service): four six-week courses a year at Exampletown Primary School for parents and children - cooking on a budget, reading together and digital skills.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2. Key Details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700"/>
        <w:gridCol w:w="2200"/>
        <w:gridCol w:w="2200"/>
        <w:gridCol w:w="2700"/>
      </w:tblGrid>
      <w:tr>
        <w:trPr>
          <w:cantSplit/>
        </w:trPr>
        <w:tc>
          <w:tcPr>
            <w:tcW w:type="dxa" w:w="2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Main office:</w:t>
            </w:r>
          </w:p>
        </w:tc>
        <w:tc>
          <w:tcPr>
            <w:tcW w:type="dxa" w:w="7100"/>
            <w:gridSpan w:val="3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Example Community Centre, 1 Example Street, Exampletown, Fife KY0 0XX</w:t>
            </w:r>
          </w:p>
        </w:tc>
      </w:tr>
      <w:tr>
        <w:trPr>
          <w:cantSplit/>
        </w:trPr>
        <w:tc>
          <w:tcPr>
            <w:tcW w:type="dxa" w:w="2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Other offices:</w:t>
            </w:r>
          </w:p>
        </w:tc>
        <w:tc>
          <w:tcPr>
            <w:tcW w:type="dxa" w:w="7100"/>
            <w:gridSpan w:val="3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None. The family learning courses run at Exampletown Primary School.</w:t>
            </w:r>
          </w:p>
        </w:tc>
      </w:tr>
      <w:tr>
        <w:trPr>
          <w:cantSplit/>
        </w:trPr>
        <w:tc>
          <w:tcPr>
            <w:tcW w:type="dxa" w:w="2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Chairperson (Name &amp; Email)</w:t>
            </w:r>
          </w:p>
        </w:tc>
        <w:tc>
          <w:tcPr>
            <w:tcW w:type="dxa" w:w="7100"/>
            <w:gridSpan w:val="3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Alex Example – chair@example.org</w:t>
            </w:r>
          </w:p>
        </w:tc>
      </w:tr>
      <w:tr>
        <w:trPr>
          <w:cantSplit/>
        </w:trPr>
        <w:tc>
          <w:tcPr>
            <w:tcW w:type="dxa" w:w="2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Chief Executive (Name &amp; Email)</w:t>
            </w:r>
          </w:p>
        </w:tc>
        <w:tc>
          <w:tcPr>
            <w:tcW w:type="dxa" w:w="7100"/>
            <w:gridSpan w:val="3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No chief executive. Centre Manager: Sam Sample – manager@example.org</w:t>
            </w:r>
          </w:p>
        </w:tc>
      </w:tr>
      <w:tr>
        <w:trPr>
          <w:cantSplit/>
        </w:trPr>
        <w:tc>
          <w:tcPr>
            <w:tcW w:type="dxa" w:w="2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Link Officer (Name and Email)</w:t>
            </w:r>
          </w:p>
        </w:tc>
        <w:tc>
          <w:tcPr>
            <w:tcW w:type="dxa" w:w="7100"/>
            <w:gridSpan w:val="3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Robin Test – robin.test@example.org</w:t>
            </w:r>
          </w:p>
        </w:tc>
      </w:tr>
      <w:tr>
        <w:trPr>
          <w:cantSplit/>
        </w:trPr>
        <w:tc>
          <w:tcPr>
            <w:tcW w:type="dxa" w:w="2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Website</w:t>
            </w:r>
          </w:p>
        </w:tc>
        <w:tc>
          <w:tcPr>
            <w:tcW w:type="dxa" w:w="7100"/>
            <w:gridSpan w:val="3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www.example.org</w:t>
            </w:r>
          </w:p>
        </w:tc>
      </w:tr>
      <w:tr>
        <w:trPr>
          <w:cantSplit/>
        </w:trPr>
        <w:tc>
          <w:tcPr>
            <w:tcW w:type="dxa" w:w="27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No. of employees</w:t>
            </w:r>
          </w:p>
        </w:tc>
        <w:tc>
          <w:tcPr>
            <w:tcW w:type="dxa" w:w="22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 (2.1 full-time equivalent)</w:t>
            </w:r>
          </w:p>
        </w:tc>
        <w:tc>
          <w:tcPr>
            <w:tcW w:type="dxa" w:w="22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No. of volunteers</w:t>
            </w:r>
          </w:p>
        </w:tc>
        <w:tc>
          <w:tcPr>
            <w:tcW w:type="dxa" w:w="27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23, including our 7 trustees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3. Governance and Risk Management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600"/>
        <w:gridCol w:w="1600"/>
        <w:gridCol w:w="1600"/>
      </w:tblGrid>
      <w:tr>
        <w:trPr>
          <w:cantSplit/>
        </w:trPr>
        <w:tc>
          <w:tcPr>
            <w:tcW w:type="dxa" w:w="6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Full, independent audit or independent examination (IE) of accounts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Audit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IE  </w:t>
            </w:r>
            <w:r>
              <w:rPr>
                <w:rFonts w:ascii="Segoe UI Symbol" w:cs="Segoe UI Symbol" w:eastAsia="Segoe UI Symbol" w:hAnsi="Segoe UI Symbol"/>
                <w:color w:val="1F5CA8"/>
                <w:sz w:val="20"/>
                <w:szCs w:val="20"/>
              </w:rPr>
              <w:t xml:space="preserve">☒</w:t>
            </w:r>
          </w:p>
        </w:tc>
      </w:tr>
      <w:tr>
        <w:trPr>
          <w:cantSplit/>
        </w:trPr>
        <w:tc>
          <w:tcPr>
            <w:tcW w:type="dxa" w:w="6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Most recent accounts submitted to OSCR on time?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Yes  </w:t>
            </w:r>
            <w:r>
              <w:rPr>
                <w:rFonts w:ascii="Segoe UI Symbol" w:cs="Segoe UI Symbol" w:eastAsia="Segoe UI Symbol" w:hAnsi="Segoe UI Symbol"/>
                <w:color w:val="1F5CA8"/>
                <w:sz w:val="20"/>
                <w:szCs w:val="20"/>
              </w:rPr>
              <w:t xml:space="preserve">☒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8200"/>
            <w:gridSpan w:val="2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Year last 3-year evaluation undertaken by Fife Council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2026 (November)</w:t>
            </w:r>
          </w:p>
        </w:tc>
      </w:tr>
      <w:tr>
        <w:trPr>
          <w:cantSplit/>
        </w:trPr>
        <w:tc>
          <w:tcPr>
            <w:tcW w:type="dxa" w:w="6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Any outstanding issues from 3-year review? (if answer yes please provide details below)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Yes  </w:t>
            </w:r>
            <w:r>
              <w:rPr>
                <w:rFonts w:ascii="Segoe UI Symbol" w:cs="Segoe UI Symbol" w:eastAsia="Segoe UI Symbol" w:hAnsi="Segoe UI Symbol"/>
                <w:color w:val="1F5CA8"/>
                <w:sz w:val="20"/>
                <w:szCs w:val="20"/>
              </w:rPr>
              <w:t xml:space="preserve">☒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800"/>
            <w:gridSpan w:val="3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The November 2026 evaluation asked us to: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update our safeguarding policy for work with young people - done: the board approved the new policy on 20 January 2027 and our Link Officer has a copy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record outcomes at the youth drop-in, not just attendance - a short survey for young people starts in April 2027.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4. Financial Performance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000"/>
        <w:gridCol w:w="1600"/>
        <w:gridCol w:w="1600"/>
        <w:gridCol w:w="1600"/>
      </w:tblGrid>
      <w:tr>
        <w:trPr>
          <w:cantSplit/>
        </w:trPr>
        <w:tc>
          <w:tcPr>
            <w:tcW w:type="dxa" w:w="50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Previous Year</w:t>
            </w:r>
          </w:p>
        </w:tc>
        <w:tc>
          <w:tcPr>
            <w:tcW w:type="dxa" w:w="1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Current Year</w:t>
            </w:r>
          </w:p>
        </w:tc>
        <w:tc>
          <w:tcPr>
            <w:tcW w:type="dxa" w:w="1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Variation</w:t>
            </w:r>
          </w:p>
        </w:tc>
      </w:tr>
      <w:tr>
        <w:trPr>
          <w:cantSplit/>
        </w:trPr>
        <w:tc>
          <w:tcPr>
            <w:tcW w:type="dxa" w:w="50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Income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£148,200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£156,900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+£8,700</w:t>
            </w:r>
          </w:p>
        </w:tc>
      </w:tr>
      <w:tr>
        <w:trPr>
          <w:cantSplit/>
        </w:trPr>
        <w:tc>
          <w:tcPr>
            <w:tcW w:type="dxa" w:w="50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Expenditure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£142,600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£161,300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+£18,700</w:t>
            </w:r>
          </w:p>
        </w:tc>
      </w:tr>
      <w:tr>
        <w:trPr>
          <w:cantSplit/>
        </w:trPr>
        <w:tc>
          <w:tcPr>
            <w:tcW w:type="dxa" w:w="50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Unrestricted Reserves (free funds)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£41,800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£35,300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-£6,500</w:t>
            </w:r>
          </w:p>
        </w:tc>
      </w:tr>
      <w:tr>
        <w:trPr>
          <w:cantSplit/>
        </w:trPr>
        <w:tc>
          <w:tcPr>
            <w:tcW w:type="dxa" w:w="50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Restricted Reserves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£12,500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£14,600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+£2,100</w:t>
            </w:r>
          </w:p>
        </w:tc>
      </w:tr>
      <w:tr>
        <w:trPr>
          <w:cantSplit/>
        </w:trPr>
        <w:tc>
          <w:tcPr>
            <w:tcW w:type="dxa" w:w="6600"/>
            <w:gridSpan w:val="2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Annual accounts checked by Fife Council Finance Team?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Yes  </w:t>
            </w:r>
            <w:r>
              <w:rPr>
                <w:rFonts w:ascii="Segoe UI Symbol" w:cs="Segoe UI Symbol" w:eastAsia="Segoe UI Symbol" w:hAnsi="Segoe UI Symbol"/>
                <w:color w:val="1F5CA8"/>
                <w:sz w:val="20"/>
                <w:szCs w:val="20"/>
              </w:rPr>
              <w:t xml:space="preserve">☒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600"/>
            <w:gridSpan w:val="2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Any issues arising from scrutiny of annual accounts? (if answer yes please provide details below)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Yes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  </w:t>
            </w:r>
            <w:r>
              <w:rPr>
                <w:rFonts w:ascii="Segoe UI Symbol" w:cs="Segoe UI Symbol" w:eastAsia="Segoe UI Symbol" w:hAnsi="Segoe UI Symbol"/>
                <w:color w:val="1F5CA8"/>
                <w:sz w:val="20"/>
                <w:szCs w:val="20"/>
              </w:rPr>
              <w:t xml:space="preserve">☒</w:t>
            </w:r>
          </w:p>
        </w:tc>
      </w:tr>
      <w:tr>
        <w:trPr>
          <w:cantSplit/>
        </w:trPr>
        <w:tc>
          <w:tcPr>
            <w:tcW w:type="dxa" w:w="9800"/>
            <w:gridSpan w:val="4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00"/>
        <w:gridCol w:w="7200"/>
      </w:tblGrid>
      <w:tr>
        <w:trPr>
          <w:cantSplit/>
        </w:trPr>
        <w:tc>
          <w:tcPr>
            <w:tcW w:type="dxa" w:w="26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Any relevant notes on Finances</w:t>
            </w:r>
          </w:p>
        </w:tc>
        <w:tc>
          <w:tcPr>
            <w:tcW w:type="dxa" w:w="72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From our independently examined accounts for the years ending 31 March 2025 (previous year) and 31 March 2026 (current year).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The 2025-26 deficit of £4,400 was planned and agreed by the board, to cover higher energy costs and the real Living Wage increase while we look for new funding.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Unrestricted reserves include £8,000 set aside by the board to replace the boiler, so our free reserves are £27,300 - about two months’ running costs, against our policy of three. Restricted reserves are a two-year trust grant for the youth drop-in, to be spent by March 2027.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5. Key Performance Indicator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300"/>
        <w:gridCol w:w="4100"/>
        <w:gridCol w:w="1100"/>
        <w:gridCol w:w="1100"/>
        <w:gridCol w:w="1100"/>
        <w:gridCol w:w="1100"/>
      </w:tblGrid>
      <w:tr>
        <w:trPr>
          <w:cantSplit/>
        </w:trPr>
        <w:tc>
          <w:tcPr>
            <w:tcW w:type="dxa" w:w="1300"/>
            <w:vMerge w:val="restart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Relevant Component</w:t>
            </w:r>
          </w:p>
        </w:tc>
        <w:tc>
          <w:tcPr>
            <w:tcW w:type="dxa" w:w="4100"/>
            <w:vMerge w:val="restart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Key Performance Indicator</w:t>
            </w:r>
          </w:p>
        </w:tc>
        <w:tc>
          <w:tcPr>
            <w:tcW w:type="dxa" w:w="2200"/>
            <w:gridSpan w:val="2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Previous Year</w:t>
            </w:r>
          </w:p>
        </w:tc>
        <w:tc>
          <w:tcPr>
            <w:tcW w:type="dxa" w:w="2200"/>
            <w:gridSpan w:val="2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Current Year</w:t>
            </w:r>
          </w:p>
        </w:tc>
      </w:tr>
      <w:tr>
        <w:trPr>
          <w:cantSplit/>
        </w:trPr>
        <w:tc>
          <w:tcPr>
            <w:tcW w:type="dxa" w:w="1300"/>
            <w:vMerge w:val="continue"/>
          </w:tcPr>
          <w:p/>
        </w:tc>
        <w:tc>
          <w:tcPr>
            <w:tcW w:type="dxa" w:w="4100"/>
            <w:vMerge w:val="continue"/>
          </w:tcPr>
          <w:p/>
        </w:tc>
        <w:tc>
          <w:tcPr>
            <w:tcW w:type="dxa" w:w="11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Target</w:t>
            </w:r>
          </w:p>
        </w:tc>
        <w:tc>
          <w:tcPr>
            <w:tcW w:type="dxa" w:w="11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Actual</w:t>
            </w:r>
          </w:p>
        </w:tc>
        <w:tc>
          <w:tcPr>
            <w:tcW w:type="dxa" w:w="11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Target</w:t>
            </w:r>
          </w:p>
        </w:tc>
        <w:tc>
          <w:tcPr>
            <w:tcW w:type="dxa" w:w="1100"/>
            <w:shd w:fill="FBE4D5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Actual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1</w:t>
            </w:r>
          </w:p>
        </w:tc>
        <w:tc>
          <w:tcPr>
            <w:tcW w:type="dxa" w:w="4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Lunch club sessions held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48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47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48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40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1</w:t>
            </w:r>
          </w:p>
        </w:tc>
        <w:tc>
          <w:tcPr>
            <w:tcW w:type="dxa" w:w="4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Older people attending regularly (three or more times a month)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35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38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35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39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2</w:t>
            </w:r>
          </w:p>
        </w:tc>
        <w:tc>
          <w:tcPr>
            <w:tcW w:type="dxa" w:w="4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Youth drop-in sessions held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76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72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76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61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2</w:t>
            </w:r>
          </w:p>
        </w:tc>
        <w:tc>
          <w:tcPr>
            <w:tcW w:type="dxa" w:w="4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Young people attending (different individuals)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60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54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60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58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</w:t>
            </w:r>
          </w:p>
        </w:tc>
        <w:tc>
          <w:tcPr>
            <w:tcW w:type="dxa" w:w="4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Family learning courses run (six weeks each)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4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</w:t>
            </w:r>
          </w:p>
        </w:tc>
        <w:tc>
          <w:tcPr>
            <w:tcW w:type="dxa" w:w="4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Families completing a course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32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29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32</w:t>
            </w:r>
          </w:p>
        </w:tc>
        <w:tc>
          <w:tcPr>
            <w:tcW w:type="dxa" w:w="11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26</w:t>
            </w:r>
          </w:p>
        </w:tc>
      </w:tr>
    </w:tbl>
    <w:p>
      <w:pPr>
        <w:spacing w:after="0" w:before="40"/>
      </w:pPr>
      <w:r>
        <w:rPr>
          <w:rFonts w:ascii="Calibri" w:cs="Calibri" w:eastAsia="Calibri" w:hAnsi="Calibri"/>
          <w:i/>
          <w:iCs/>
          <w:color w:val="1F5CA8"/>
          <w:sz w:val="18"/>
          <w:szCs w:val="18"/>
        </w:rPr>
        <w:t xml:space="preserve">Previous year = 2025-26. Current year = 2026-27, figures to 31 January 2027 (ten months of twelve).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6. Impact</w:t>
      </w:r>
      <w:r>
        <w:rPr>
          <w:rFonts w:ascii="Calibri" w:cs="Calibri" w:eastAsia="Calibri" w:hAnsi="Calibri"/>
          <w:sz w:val="21"/>
          <w:szCs w:val="21"/>
        </w:rPr>
        <w:t xml:space="preserve"> (Qualitative measures – survey results, case studies etc)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800"/>
      </w:tblGrid>
      <w:tr>
        <w:trPr>
          <w:cantSplit/>
        </w:trPr>
        <w:tc>
          <w:tcPr>
            <w:tcW w:type="dxa" w:w="98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Lunch club survey, February 2026: 34 of the 39 regular members who replied (87%) said they feel less lonely since joining, and 30 (77%) now see friends from the club outside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A member in her eighties began coming after her husband died, when she had stopped going out. A volunteer driver brings her each week; she now helps set up, and has learned to video-call her grandchildren at our digital drop-in. (Shared with her permission; details changed.)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“The family learning courses bring in parents we rarely see in school.” – Head Teacher, Exampletown Primary School</w:t>
            </w:r>
          </w:p>
          <w:p>
            <w:pPr>
              <w:spacing w:after="0" w:before="4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This supports what the Council funds us to do: stronger communities, fewer people isolated, and more families taking part.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7. Key Achievements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800"/>
      </w:tblGrid>
      <w:tr>
        <w:trPr>
          <w:cantSplit/>
        </w:trPr>
        <w:tc>
          <w:tcPr>
            <w:tcW w:type="dxa" w:w="98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Regular lunch club members up from 31 to 39, above our target of 35.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A new weekly digital drop-in, run by volunteers, has helped 45 older people use phones, tablets and online services.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Three young people from the youth drop-in have trained as volunteer helpers.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For every £1 of Council funding in 2025-26 we raised almost £4 more, from other funders, donations and room hire.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8. Challenges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800"/>
      </w:tblGrid>
      <w:tr>
        <w:trPr>
          <w:cantSplit/>
        </w:trPr>
        <w:tc>
          <w:tcPr>
            <w:tcW w:type="dxa" w:w="98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Costs are rising faster than income: spending rose 13% in 2025-26 (energy, and keeping all staff on at least the real Living Wage) against a 6% rise in income. The board agreed to use £4,400 of reserves.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Two volunteer leaders left the youth drop-in in summer 2025, so four sessions were cancelled and attendance fell short (54 young people against a target of 60). Two new leaders are now trained and PVG-checked.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Three families did not finish a family learning course in 2025-26, mainly because they had no childcare for younger children. We now book a crèche from a local childcare provider for each course, paid for by a small trust grant.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Our Communities and Neighbourhoods agreement and the trust grant both end in March 2027, which makes it hard to plan and to keep staff.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9. Priorities for Next Period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800"/>
      </w:tblGrid>
      <w:tr>
        <w:trPr>
          <w:cantSplit/>
        </w:trPr>
        <w:tc>
          <w:tcPr>
            <w:tcW w:type="dxa" w:w="98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pStyle w:val="ListParagraph"/>
              <w:numPr>
                <w:ilvl w:val="0"/>
                <w:numId w:val="3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Rebuild free reserves towards our three-month policy over three years, through a review of hall hire charges and a fundraising plan.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Start an outcomes survey for young people at the drop-in from April 2027, as the evaluation recommended.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Replace the boiler, using the £8,000 the board has set aside, to cut energy costs.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Recruit two trustees, one with finance and one with youth work experience.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10. Further Information</w:t>
      </w:r>
    </w:p>
    <w:tbl>
      <w:tblPr>
        <w:tblW w:type="dxa" w:w="9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800"/>
      </w:tblGrid>
      <w:tr>
        <w:trPr>
          <w:cantSplit/>
        </w:trPr>
        <w:tc>
          <w:tcPr>
            <w:tcW w:type="dxa" w:w="9800"/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Please include any hyperlinks to documents of reference i.e. annual accounts, reports, etc.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Annual report and independently examined accounts, year ending 31 March 2026: www.example.org/annual-report-2026 (also on our Scottish Charity Register entry, SC000000)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Impact report 2025-26, with the full lunch club survey: www.example.org/impact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color w:val="1F5CA8"/>
                <w:sz w:val="20"/>
                <w:szCs w:val="20"/>
              </w:rPr>
              <w:t xml:space="preserve">Safeguarding policy, updated January 2027: www.example.org/policies</w:t>
            </w:r>
          </w:p>
        </w:tc>
      </w:tr>
    </w:tbl>
    <w:p>
      <w:pPr>
        <w:pageBreakBefore/>
        <w:spacing w:after="120" w:before="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About this worked example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Everything above is invented - the organisation, the people, the charity number and every figure - to show one way of completing Fife Council’s Annual Report Summary well. It follows the guide on our website (For organisations &gt; Running an organisation &gt; Funding and finance &gt; Council grant annual report).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Things to notice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It is short. Most boxes are a few lines or bullets: it is a summary for councillors, not a full report.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Every figure comes from the award letters, the agreements or the accounts, and the notes say which years are used.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Each variation has a reason in a sentence - and the cut says plainly what it will mean for the service, rather than absorbing it quietly.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The spending summaries use the agreement’s own numbering, so the same numbers appear in section 5.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Missed targets are explained in Challenges, with what is being done about them, rather than left for the reader to spot.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The outstanding issue from the evaluation is set out with what is done and what is still to do.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The finance notes explain the planned deficit and what the reserves are for, against the reserves policy.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Impact uses one survey result (saying how many replied), one short case study with consent, and one partner quotation.</w:t>
      </w:r>
    </w:p>
    <w:p>
      <w:pPr>
        <w:pStyle w:val="ListParagraph"/>
        <w:numPr>
          <w:ilvl w:val="0"/>
          <w:numId w:val="4"/>
        </w:numPr>
        <w:spacing w:after="60" w:before="0"/>
      </w:pPr>
      <w:r>
        <w:rPr>
          <w:rFonts w:ascii="Calibri" w:cs="Calibri" w:eastAsia="Calibri" w:hAnsi="Calibri"/>
          <w:sz w:val="20"/>
          <w:szCs w:val="20"/>
        </w:rPr>
        <w:t xml:space="preserve">Achievements include the other money brought in, which shows how far the Council’s funding goes.</w:t>
      </w:r>
    </w:p>
    <w:p>
      <w:pPr>
        <w:spacing w:after="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Need a hand with yours? </w:t>
      </w:r>
      <w:r>
        <w:rPr>
          <w:rFonts w:ascii="Calibri" w:cs="Calibri" w:eastAsia="Calibri" w:hAnsi="Calibri"/>
          <w:sz w:val="20"/>
          <w:szCs w:val="20"/>
        </w:rPr>
        <w:t xml:space="preserve">Fife Voluntary Action’s capacity building team can talk the form through, help with the figures or read your draft: capacitybuilding@fva.org, 0800 389 6046.</w:t>
      </w:r>
    </w:p>
    <w:sectPr>
      <w:headerReference w:type="default" r:id="rId6"/>
      <w:footerReference w:type="default" r:id="rId7"/>
      <w:pgSz w:w="11906" w:h="16838" w:orient="portrait"/>
      <w:pgMar w:top="1000" w:right="1050" w:bottom="1000" w:left="105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666666"/>
        <w:sz w:val="16"/>
        <w:szCs w:val="16"/>
      </w:rPr>
      <w:t xml:space="preserve">Fife Voluntary Action – worked example, October 2026</w:t>
    </w:r>
    <w:r>
      <w:rPr>
        <w:rFonts w:ascii="Calibri" w:cs="Calibri" w:eastAsia="Calibri" w:hAnsi="Calibri"/>
        <w:color w:val="666666"/>
        <w:sz w:val="16"/>
        <w:szCs w:val="16"/>
      </w:rPr>
      <w:ptab w:alignment="right" w:relativeTo="margin" w:leader="none"/>
      <w:t xml:space="preserve">Page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</w:r>
    <w:r>
      <w:rPr>
        <w:rFonts w:ascii="Calibri" w:cs="Calibri" w:eastAsia="Calibri" w:hAnsi="Calibri"/>
        <w:color w:val="666666"/>
        <w:sz w:val="16"/>
        <w:szCs w:val="16"/>
      </w:rPr>
      <w:instrText xml:space="preserve">PAGE</w:instrText>
    </w:r>
    <w:r>
      <w:rPr>
        <w:rFonts w:ascii="Calibri" w:cs="Calibri" w:eastAsia="Calibri" w:hAnsi="Calibri"/>
        <w:color w:val="666666"/>
        <w:sz w:val="16"/>
        <w:szCs w:val="16"/>
      </w:rPr>
      <w:fldChar w:fldCharType="separate"/>
    </w:r>
    <w:r>
      <w:rPr>
        <w:rFonts w:ascii="Calibri" w:cs="Calibri" w:eastAsia="Calibri" w:hAnsi="Calibri"/>
        <w:color w:val="666666"/>
        <w:sz w:val="16"/>
        <w:szCs w:val="16"/>
      </w:rPr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of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</w:r>
    <w:r>
      <w:rPr>
        <w:rFonts w:ascii="Calibri" w:cs="Calibri" w:eastAsia="Calibri" w:hAnsi="Calibri"/>
        <w:color w:val="666666"/>
        <w:sz w:val="16"/>
        <w:szCs w:val="16"/>
      </w:rPr>
      <w:instrText xml:space="preserve">NUMPAGES</w:instrText>
    </w:r>
    <w:r>
      <w:rPr>
        <w:rFonts w:ascii="Calibri" w:cs="Calibri" w:eastAsia="Calibri" w:hAnsi="Calibri"/>
        <w:color w:val="666666"/>
        <w:sz w:val="16"/>
        <w:szCs w:val="16"/>
      </w:rPr>
      <w:fldChar w:fldCharType="separate"/>
    </w:r>
    <w:r>
      <w:rPr>
        <w:rFonts w:ascii="Calibri" w:cs="Calibri" w:eastAsia="Calibri" w:hAnsi="Calibri"/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Worked example: a fictional organisation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  <w:rPr>
        <w:rFonts w:ascii="Calibri" w:cs="Calibri" w:eastAsia="Calibri" w:hAnsi="Calibri"/>
        <w:color w:val="1F5CA8"/>
        <w:sz w:val="20"/>
        <w:szCs w:val="20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20" w:hanging="260"/>
      </w:pPr>
      <w:rPr>
        <w:rFonts w:ascii="Calibri" w:cs="Calibri" w:eastAsia="Calibri" w:hAnsi="Calibri"/>
        <w:color w:val="1F5CA8"/>
        <w:sz w:val="20"/>
        <w:szCs w:val="20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>
      <w:pPr>
        <w:spacing w:after="0" w:line="252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 Summary - Recurring Grant Funding: worked example</dc:title>
  <dc:creator>Fife Voluntary Action</dc:creator>
  <dc:description>A worked example for a fictional organisation. Not a real report and not a Fife Council document.</dc:description>
  <cp:lastModifiedBy>Un-named</cp:lastModifiedBy>
  <cp:revision>1</cp:revision>
  <dcterms:created xsi:type="dcterms:W3CDTF">2026-10-18T12:42:21.830Z</dcterms:created>
  <dcterms:modified xsi:type="dcterms:W3CDTF">2026-10-18T12:42:21.835Z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